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A1EA0" w:rsidRPr="00FA1EA0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Восточной Сибири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AF4AF0">
        <w:rPr>
          <w:bCs/>
          <w:color w:val="000000" w:themeColor="text1"/>
          <w:sz w:val="28"/>
          <w:szCs w:val="28"/>
        </w:rPr>
        <w:t>Совета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1B1E25">
        <w:rPr>
          <w:bCs/>
          <w:color w:val="000000" w:themeColor="text1"/>
          <w:sz w:val="28"/>
          <w:szCs w:val="28"/>
        </w:rPr>
        <w:t>29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696DD5">
        <w:rPr>
          <w:bCs/>
          <w:color w:val="000000" w:themeColor="text1"/>
          <w:sz w:val="28"/>
          <w:szCs w:val="28"/>
        </w:rPr>
        <w:t>22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FA1EA0" w:rsidRPr="00FA1EA0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Восточной Сибири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6413" w:rsidRDefault="0053641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6413" w:rsidRDefault="0053641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1E25" w:rsidRDefault="001B1E2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1E25" w:rsidRDefault="001B1E2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1E25" w:rsidRDefault="001B1E2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FA1EA0">
        <w:rPr>
          <w:rFonts w:ascii="Times New Roman" w:hAnsi="Times New Roman"/>
          <w:b/>
          <w:sz w:val="28"/>
          <w:szCs w:val="28"/>
        </w:rPr>
        <w:t>Якутск</w:t>
      </w:r>
      <w:r w:rsidR="00536413">
        <w:rPr>
          <w:rFonts w:ascii="Times New Roman" w:hAnsi="Times New Roman"/>
          <w:b/>
          <w:sz w:val="28"/>
          <w:szCs w:val="28"/>
        </w:rPr>
        <w:t>,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B5CFD">
        <w:rPr>
          <w:rFonts w:ascii="Times New Roman" w:hAnsi="Times New Roman"/>
          <w:b/>
          <w:sz w:val="28"/>
          <w:szCs w:val="28"/>
        </w:rPr>
        <w:t>9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FA1EA0" w:rsidRPr="00FA1EA0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строительных организаций Восточной Сибири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1B1E25" w:rsidRPr="00E37F7C" w:rsidRDefault="001B1E25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тся только на основании вновь утвержденной застройщиком или заказчиком проектной документации после внесения в нее </w:t>
      </w:r>
      <w:r w:rsidR="0096425A" w:rsidRPr="0096425A">
        <w:rPr>
          <w:rFonts w:ascii="Times New Roman" w:hAnsi="Times New Roman" w:cs="Times New Roman"/>
          <w:sz w:val="28"/>
          <w:szCs w:val="28"/>
        </w:rPr>
        <w:lastRenderedPageBreak/>
        <w:t>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61224A">
        <w:rPr>
          <w:rFonts w:ascii="Times New Roman" w:hAnsi="Times New Roman" w:cs="Times New Roman"/>
          <w:sz w:val="28"/>
          <w:szCs w:val="28"/>
        </w:rPr>
        <w:lastRenderedPageBreak/>
        <w:t>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ее основе рабочей документации, требованиям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4C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CFC">
        <w:rPr>
          <w:rFonts w:ascii="Times New Roman" w:hAnsi="Times New Roman" w:cs="Times New Roman"/>
          <w:sz w:val="28"/>
          <w:szCs w:val="28"/>
        </w:rPr>
        <w:t xml:space="preserve">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7" w:rsidRDefault="00F75497" w:rsidP="00E7262C">
      <w:pPr>
        <w:spacing w:after="0" w:line="240" w:lineRule="auto"/>
      </w:pPr>
      <w:r>
        <w:separator/>
      </w:r>
    </w:p>
  </w:endnote>
  <w:end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1B1E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7" w:rsidRDefault="00F75497" w:rsidP="00E7262C">
      <w:pPr>
        <w:spacing w:after="0" w:line="240" w:lineRule="auto"/>
      </w:pPr>
      <w:r>
        <w:separator/>
      </w:r>
    </w:p>
  </w:footnote>
  <w:foot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1E25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6413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96DD5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4AF0"/>
    <w:rsid w:val="00AF6AC8"/>
    <w:rsid w:val="00B018EE"/>
    <w:rsid w:val="00B02255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1EA0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D27-9830-4D1D-9144-B699137E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12</cp:revision>
  <cp:lastPrinted>2017-06-19T14:10:00Z</cp:lastPrinted>
  <dcterms:created xsi:type="dcterms:W3CDTF">2019-04-09T13:26:00Z</dcterms:created>
  <dcterms:modified xsi:type="dcterms:W3CDTF">2019-04-30T08:50:00Z</dcterms:modified>
</cp:coreProperties>
</file>